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November 13, 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Value Theory!</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Read back over (and annotate new amazing ideas that strike you!) p. 9-10 on Value Theory. Then do </w:t>
      </w:r>
      <w:r w:rsidRPr="00000000" w:rsidR="00000000" w:rsidDel="00000000">
        <w:rPr>
          <w:rFonts w:cs="Times New Roman" w:hAnsi="Times New Roman" w:eastAsia="Times New Roman" w:ascii="Times New Roman"/>
          <w:b w:val="1"/>
          <w:rtl w:val="0"/>
        </w:rPr>
        <w:t xml:space="preserve">one </w:t>
      </w:r>
      <w:r w:rsidRPr="00000000" w:rsidR="00000000" w:rsidDel="00000000">
        <w:rPr>
          <w:rFonts w:cs="Times New Roman" w:hAnsi="Times New Roman" w:eastAsia="Times New Roman" w:ascii="Times New Roman"/>
          <w:rtl w:val="0"/>
        </w:rPr>
        <w:t xml:space="preserve">of the following: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u w:val="single"/>
          <w:rtl w:val="0"/>
        </w:rPr>
        <w:t xml:space="preserve">Ethics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Closely read the paragraph beginning “Philip Wheelwright…” First, write a strong paraphrase of his quotation. Then, write a response. Questions you might consider in your response are “What role does reflective choice play in my life?” “How have I decided the standards of right and wrong by which my actions are guided?” “What are the goods to which I direct my actions?” Or anything else that strikes your fancy. If you are inclined to write sniveling drivel about how good and bad are so relative that nothing can be said about them, so we might as well just put on some music and dance….then this is not the option for you.</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u w:val="single"/>
          <w:rtl w:val="0"/>
        </w:rPr>
        <w:t xml:space="preserve">Political Philosophy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rtl w:val="0"/>
        </w:rPr>
        <w:t xml:space="preserve">Respond to one of the many philosophical questions posed at the bottom of the first column or the top of the second column on p. 10. Your response should be a robust page and should include both reasons for your own belief, as well as a reply to an anticipated objection someone might level at you.</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value theory.docx</dc:title>
</cp:coreProperties>
</file>